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5CAA" w14:textId="77777777" w:rsidR="00DC7AF6" w:rsidRPr="00DC7AF6" w:rsidRDefault="00DC7AF6" w:rsidP="00DC7AF6">
      <w:pPr>
        <w:pStyle w:val="Default"/>
        <w:spacing w:line="276" w:lineRule="auto"/>
        <w:jc w:val="center"/>
        <w:rPr>
          <w:rFonts w:asciiTheme="minorHAnsi" w:hAnsiTheme="minorHAnsi" w:cstheme="minorHAnsi"/>
          <w:sz w:val="32"/>
          <w:szCs w:val="32"/>
        </w:rPr>
      </w:pPr>
      <w:r w:rsidRPr="00DC7AF6">
        <w:rPr>
          <w:rFonts w:asciiTheme="minorHAnsi" w:hAnsiTheme="minorHAnsi" w:cstheme="minorHAnsi"/>
          <w:b/>
          <w:bCs/>
          <w:sz w:val="32"/>
          <w:szCs w:val="32"/>
        </w:rPr>
        <w:t>La Recherche en Travail Social et Santé dans les sciences de l’</w:t>
      </w:r>
      <w:proofErr w:type="spellStart"/>
      <w:r w:rsidRPr="00DC7AF6">
        <w:rPr>
          <w:rFonts w:asciiTheme="minorHAnsi" w:hAnsiTheme="minorHAnsi" w:cstheme="minorHAnsi"/>
          <w:b/>
          <w:bCs/>
          <w:sz w:val="32"/>
          <w:szCs w:val="32"/>
        </w:rPr>
        <w:t>Education</w:t>
      </w:r>
      <w:proofErr w:type="spellEnd"/>
      <w:r w:rsidRPr="00DC7AF6">
        <w:rPr>
          <w:rFonts w:asciiTheme="minorHAnsi" w:hAnsiTheme="minorHAnsi" w:cstheme="minorHAnsi"/>
          <w:b/>
          <w:bCs/>
          <w:sz w:val="32"/>
          <w:szCs w:val="32"/>
        </w:rPr>
        <w:t xml:space="preserve"> et de la Formation – TRESSE –</w:t>
      </w:r>
    </w:p>
    <w:p w14:paraId="01B5DCC0" w14:textId="77777777" w:rsidR="00DC7AF6" w:rsidRPr="00DC7AF6" w:rsidRDefault="00DC7AF6" w:rsidP="00DC7AF6">
      <w:pPr>
        <w:pStyle w:val="Default"/>
        <w:spacing w:line="276" w:lineRule="auto"/>
        <w:jc w:val="center"/>
        <w:rPr>
          <w:rFonts w:asciiTheme="minorHAnsi" w:hAnsiTheme="minorHAnsi" w:cstheme="minorHAnsi"/>
          <w:sz w:val="32"/>
          <w:szCs w:val="32"/>
        </w:rPr>
      </w:pPr>
      <w:r w:rsidRPr="00DC7AF6">
        <w:rPr>
          <w:rFonts w:asciiTheme="minorHAnsi" w:hAnsiTheme="minorHAnsi" w:cstheme="minorHAnsi"/>
          <w:b/>
          <w:bCs/>
          <w:sz w:val="32"/>
          <w:szCs w:val="32"/>
        </w:rPr>
        <w:t>14, 15 et 16 décembre 2020 à l’Université de Rouen Normandie</w:t>
      </w:r>
    </w:p>
    <w:p w14:paraId="38E24FF2" w14:textId="77777777" w:rsidR="00DC7AF6" w:rsidRPr="00DC7AF6" w:rsidRDefault="00DC7AF6" w:rsidP="00DC7AF6">
      <w:pPr>
        <w:spacing w:line="276" w:lineRule="auto"/>
        <w:jc w:val="center"/>
        <w:rPr>
          <w:rFonts w:asciiTheme="minorHAnsi" w:hAnsiTheme="minorHAnsi" w:cstheme="minorHAnsi"/>
          <w:color w:val="1F497D"/>
          <w:sz w:val="22"/>
          <w:szCs w:val="22"/>
          <w:lang w:eastAsia="en-US"/>
        </w:rPr>
      </w:pPr>
      <w:r w:rsidRPr="00DC7AF6">
        <w:rPr>
          <w:rFonts w:asciiTheme="minorHAnsi" w:hAnsiTheme="minorHAnsi" w:cstheme="minorHAnsi"/>
          <w:b/>
          <w:bCs/>
          <w:sz w:val="36"/>
          <w:szCs w:val="36"/>
        </w:rPr>
        <w:t>« Le travail de la relation »</w:t>
      </w:r>
    </w:p>
    <w:p w14:paraId="5D21D879" w14:textId="77777777" w:rsidR="00DC7AF6" w:rsidRPr="00DC7AF6" w:rsidRDefault="00DC7AF6" w:rsidP="00DC7AF6">
      <w:pPr>
        <w:spacing w:after="120" w:line="276" w:lineRule="auto"/>
        <w:rPr>
          <w:rFonts w:asciiTheme="minorHAnsi" w:hAnsiTheme="minorHAnsi" w:cstheme="minorHAnsi"/>
          <w:color w:val="1F497D"/>
          <w:sz w:val="22"/>
          <w:szCs w:val="22"/>
          <w:lang w:eastAsia="en-US"/>
        </w:rPr>
      </w:pPr>
    </w:p>
    <w:p w14:paraId="767A7777" w14:textId="77777777" w:rsidR="00DC7AF6" w:rsidRDefault="00DC7AF6" w:rsidP="00DC7AF6">
      <w:pPr>
        <w:spacing w:after="120" w:line="276" w:lineRule="auto"/>
        <w:jc w:val="center"/>
        <w:rPr>
          <w:rFonts w:asciiTheme="minorHAnsi" w:hAnsiTheme="minorHAnsi" w:cstheme="minorHAnsi"/>
          <w:szCs w:val="22"/>
        </w:rPr>
      </w:pPr>
      <w:r w:rsidRPr="00DC7AF6">
        <w:rPr>
          <w:rFonts w:asciiTheme="minorHAnsi" w:hAnsiTheme="minorHAnsi" w:cstheme="minorHAnsi"/>
          <w:szCs w:val="22"/>
          <w:lang w:eastAsia="en-US"/>
        </w:rPr>
        <w:t>Proposition de communication dans le cadre du symposium « </w:t>
      </w:r>
      <w:r w:rsidRPr="00DC7AF6">
        <w:rPr>
          <w:rFonts w:asciiTheme="minorHAnsi" w:hAnsiTheme="minorHAnsi" w:cstheme="minorHAnsi"/>
          <w:szCs w:val="22"/>
        </w:rPr>
        <w:t>Former, se former, mettre en œuvre des collaborations interprofessionnelles : enjeux, dispositifs, pratiques » coordonné par Thérèse Perez Roux</w:t>
      </w:r>
    </w:p>
    <w:p w14:paraId="53460472" w14:textId="77777777" w:rsidR="00DC7AF6" w:rsidRDefault="00DC7AF6" w:rsidP="00DC7AF6">
      <w:pPr>
        <w:spacing w:after="120" w:line="276" w:lineRule="auto"/>
        <w:jc w:val="center"/>
        <w:rPr>
          <w:rFonts w:asciiTheme="minorHAnsi" w:hAnsiTheme="minorHAnsi" w:cstheme="minorHAnsi"/>
          <w:szCs w:val="22"/>
        </w:rPr>
      </w:pPr>
    </w:p>
    <w:p w14:paraId="402558C3" w14:textId="77777777" w:rsidR="00DC7AF6" w:rsidRDefault="00DC7AF6" w:rsidP="00DC7AF6">
      <w:pPr>
        <w:spacing w:after="120" w:line="276" w:lineRule="auto"/>
        <w:jc w:val="both"/>
        <w:rPr>
          <w:rFonts w:asciiTheme="minorHAnsi" w:hAnsiTheme="minorHAnsi" w:cstheme="minorHAnsi"/>
          <w:szCs w:val="22"/>
        </w:rPr>
      </w:pPr>
      <w:r>
        <w:rPr>
          <w:rFonts w:asciiTheme="minorHAnsi" w:hAnsiTheme="minorHAnsi" w:cstheme="minorHAnsi"/>
          <w:szCs w:val="22"/>
        </w:rPr>
        <w:t>Titre : les autres comme moyen d’apprentissage et de développement. Conditions de déploiement d’une « didactiqu</w:t>
      </w:r>
      <w:r w:rsidR="00AB08A7">
        <w:rPr>
          <w:rFonts w:asciiTheme="minorHAnsi" w:hAnsiTheme="minorHAnsi" w:cstheme="minorHAnsi"/>
          <w:szCs w:val="22"/>
        </w:rPr>
        <w:t>e clinique de l</w:t>
      </w:r>
      <w:r>
        <w:rPr>
          <w:rFonts w:asciiTheme="minorHAnsi" w:hAnsiTheme="minorHAnsi" w:cstheme="minorHAnsi"/>
          <w:szCs w:val="22"/>
        </w:rPr>
        <w:t>’activité » pour former et diplômer des masseurs-kinésithérapeutes</w:t>
      </w:r>
    </w:p>
    <w:p w14:paraId="73CB1863" w14:textId="77777777" w:rsidR="00DC7AF6" w:rsidRPr="00DC7AF6" w:rsidRDefault="00DC7AF6" w:rsidP="00DC7AF6">
      <w:pPr>
        <w:spacing w:after="120" w:line="276" w:lineRule="auto"/>
        <w:jc w:val="both"/>
        <w:rPr>
          <w:rFonts w:asciiTheme="minorHAnsi" w:eastAsiaTheme="minorEastAsia" w:hAnsiTheme="minorHAnsi" w:cstheme="minorHAnsi"/>
          <w:b/>
          <w:noProof/>
          <w:sz w:val="18"/>
          <w:szCs w:val="22"/>
        </w:rPr>
      </w:pPr>
      <w:r w:rsidRPr="00DC7AF6">
        <w:rPr>
          <w:rFonts w:asciiTheme="minorHAnsi" w:eastAsiaTheme="minorEastAsia" w:hAnsiTheme="minorHAnsi" w:cstheme="minorHAnsi"/>
          <w:noProof/>
          <w:sz w:val="18"/>
          <w:szCs w:val="22"/>
        </w:rPr>
        <w:t>Stéphane BALAS</w:t>
      </w:r>
      <w:r w:rsidRPr="00DC7AF6">
        <w:rPr>
          <w:rFonts w:asciiTheme="minorHAnsi" w:eastAsiaTheme="minorEastAsia" w:hAnsiTheme="minorHAnsi" w:cstheme="minorHAnsi"/>
          <w:b/>
          <w:noProof/>
          <w:sz w:val="18"/>
          <w:szCs w:val="22"/>
        </w:rPr>
        <w:t xml:space="preserve">, </w:t>
      </w:r>
      <w:r w:rsidRPr="00DC7AF6">
        <w:rPr>
          <w:rFonts w:asciiTheme="minorHAnsi" w:eastAsiaTheme="minorEastAsia" w:hAnsiTheme="minorHAnsi" w:cstheme="minorHAnsi"/>
          <w:i/>
          <w:noProof/>
          <w:sz w:val="18"/>
          <w:szCs w:val="22"/>
        </w:rPr>
        <w:t>Maître de conférences, Equipe « métiers de la formation », Unité de Recherche « </w:t>
      </w:r>
      <w:r w:rsidRPr="00DC7AF6">
        <w:rPr>
          <w:rFonts w:asciiTheme="minorHAnsi" w:eastAsiaTheme="minorEastAsia" w:hAnsiTheme="minorHAnsi" w:cstheme="minorHAnsi"/>
          <w:noProof/>
          <w:sz w:val="18"/>
          <w:szCs w:val="22"/>
        </w:rPr>
        <w:t>Formation et Apprentissages Professionnels</w:t>
      </w:r>
      <w:r w:rsidRPr="00DC7AF6">
        <w:rPr>
          <w:rFonts w:asciiTheme="minorHAnsi" w:eastAsiaTheme="minorEastAsia" w:hAnsiTheme="minorHAnsi" w:cstheme="minorHAnsi"/>
          <w:i/>
          <w:noProof/>
          <w:sz w:val="18"/>
          <w:szCs w:val="22"/>
        </w:rPr>
        <w:t> »</w:t>
      </w:r>
      <w:r w:rsidRPr="00DC7AF6">
        <w:rPr>
          <w:rFonts w:asciiTheme="minorHAnsi" w:eastAsiaTheme="minorEastAsia" w:hAnsiTheme="minorHAnsi" w:cstheme="minorHAnsi"/>
          <w:noProof/>
          <w:sz w:val="18"/>
          <w:szCs w:val="22"/>
        </w:rPr>
        <w:t xml:space="preserve"> (EA 7529), </w:t>
      </w:r>
      <w:r w:rsidRPr="00DC7AF6">
        <w:rPr>
          <w:rFonts w:asciiTheme="minorHAnsi" w:eastAsiaTheme="minorEastAsia" w:hAnsiTheme="minorHAnsi" w:cstheme="minorHAnsi"/>
          <w:i/>
          <w:noProof/>
          <w:sz w:val="18"/>
          <w:szCs w:val="22"/>
        </w:rPr>
        <w:t>CRTD Equipe « </w:t>
      </w:r>
      <w:r w:rsidRPr="00DC7AF6">
        <w:rPr>
          <w:rFonts w:asciiTheme="minorHAnsi" w:eastAsia="Times New Roman" w:hAnsiTheme="minorHAnsi" w:cstheme="minorHAnsi"/>
          <w:bCs/>
          <w:noProof/>
          <w:sz w:val="18"/>
          <w:szCs w:val="22"/>
        </w:rPr>
        <w:t xml:space="preserve">Travail, psychosociologie, sciences de la formation et philosophie » (EA 4132), </w:t>
      </w:r>
      <w:r w:rsidRPr="00DC7AF6">
        <w:rPr>
          <w:rFonts w:asciiTheme="minorHAnsi" w:eastAsiaTheme="minorEastAsia" w:hAnsiTheme="minorHAnsi" w:cstheme="minorHAnsi"/>
          <w:noProof/>
          <w:sz w:val="18"/>
          <w:szCs w:val="22"/>
        </w:rPr>
        <w:t>Cnam, Hesam université</w:t>
      </w:r>
      <w:r w:rsidRPr="00DC7AF6">
        <w:rPr>
          <w:rFonts w:asciiTheme="minorHAnsi" w:eastAsiaTheme="minorEastAsia" w:hAnsiTheme="minorHAnsi" w:cstheme="minorHAnsi"/>
          <w:b/>
          <w:noProof/>
          <w:sz w:val="18"/>
          <w:szCs w:val="22"/>
        </w:rPr>
        <w:t xml:space="preserve">, </w:t>
      </w:r>
      <w:hyperlink r:id="rId6" w:history="1">
        <w:r w:rsidRPr="00DC7AF6">
          <w:rPr>
            <w:rStyle w:val="Lienhypertexte"/>
            <w:rFonts w:asciiTheme="minorHAnsi" w:eastAsiaTheme="minorEastAsia" w:hAnsiTheme="minorHAnsi" w:cstheme="minorHAnsi"/>
            <w:noProof/>
            <w:sz w:val="18"/>
            <w:szCs w:val="22"/>
          </w:rPr>
          <w:t>stephane.balas@lecnam.net</w:t>
        </w:r>
      </w:hyperlink>
    </w:p>
    <w:p w14:paraId="51738F37" w14:textId="77777777" w:rsidR="00372177" w:rsidRDefault="00372177" w:rsidP="00372177">
      <w:pPr>
        <w:spacing w:after="120" w:line="276" w:lineRule="auto"/>
        <w:rPr>
          <w:rFonts w:asciiTheme="minorHAnsi" w:hAnsiTheme="minorHAnsi" w:cstheme="minorHAnsi"/>
          <w:color w:val="1F497D"/>
          <w:sz w:val="22"/>
          <w:szCs w:val="22"/>
          <w:lang w:eastAsia="en-US"/>
        </w:rPr>
      </w:pPr>
    </w:p>
    <w:p w14:paraId="594A178E" w14:textId="77777777" w:rsidR="00372177" w:rsidRDefault="00372177" w:rsidP="00372177">
      <w:pPr>
        <w:spacing w:after="120" w:line="276" w:lineRule="auto"/>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 xml:space="preserve">Il est aujourd’hui de plus en plus communément admis que, dans le travail, face aux exigences et aux aléas des situations professionnelles, on n’agit pas seul. On partage en effet avec les collègues, dans une forme de socialité professionnelle, des expériences et des affects, qui nous aide à devenir des professionnels plus compétents. </w:t>
      </w:r>
      <w:r w:rsidR="00E46998">
        <w:rPr>
          <w:rFonts w:asciiTheme="minorHAnsi" w:hAnsiTheme="minorHAnsi" w:cstheme="minorHAnsi"/>
          <w:color w:val="1F497D"/>
          <w:sz w:val="22"/>
          <w:szCs w:val="22"/>
          <w:lang w:eastAsia="en-US"/>
        </w:rPr>
        <w:t xml:space="preserve">De même, on partage avec les autres acteurs des situations de travail, de très nombreux rapports sociaux. </w:t>
      </w:r>
      <w:r>
        <w:rPr>
          <w:rFonts w:asciiTheme="minorHAnsi" w:hAnsiTheme="minorHAnsi" w:cstheme="minorHAnsi"/>
          <w:color w:val="1F497D"/>
          <w:sz w:val="22"/>
          <w:szCs w:val="22"/>
          <w:lang w:eastAsia="en-US"/>
        </w:rPr>
        <w:t xml:space="preserve">Dans une forme de paradoxe, on peut d’ailleurs dire que même seul, on ne travaille jamais de manière isolée </w:t>
      </w:r>
      <w:r w:rsidR="00BE5073">
        <w:rPr>
          <w:rFonts w:asciiTheme="minorHAnsi" w:hAnsiTheme="minorHAnsi" w:cstheme="minorHAnsi"/>
          <w:color w:val="1F497D"/>
          <w:sz w:val="22"/>
          <w:szCs w:val="22"/>
          <w:lang w:eastAsia="en-US"/>
        </w:rPr>
        <w:t>car le « collectif est en nous » (Clot, 2008).</w:t>
      </w:r>
    </w:p>
    <w:p w14:paraId="0A7695FB" w14:textId="3518CDD3" w:rsidR="00BE5073" w:rsidRDefault="00BE5073" w:rsidP="00372177">
      <w:pPr>
        <w:spacing w:after="120" w:line="276" w:lineRule="auto"/>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Cette analyse est d’autant plus vrai</w:t>
      </w:r>
      <w:r w:rsidR="00AB08A7">
        <w:rPr>
          <w:rFonts w:asciiTheme="minorHAnsi" w:hAnsiTheme="minorHAnsi" w:cstheme="minorHAnsi"/>
          <w:color w:val="1F497D"/>
          <w:sz w:val="22"/>
          <w:szCs w:val="22"/>
          <w:lang w:eastAsia="en-US"/>
        </w:rPr>
        <w:t>e</w:t>
      </w:r>
      <w:r>
        <w:rPr>
          <w:rFonts w:asciiTheme="minorHAnsi" w:hAnsiTheme="minorHAnsi" w:cstheme="minorHAnsi"/>
          <w:color w:val="1F497D"/>
          <w:sz w:val="22"/>
          <w:szCs w:val="22"/>
          <w:lang w:eastAsia="en-US"/>
        </w:rPr>
        <w:t xml:space="preserve"> dans un univers professionnel comme celui des soignants qui, comme tous les « métiers de l’humain » (Jobert, 2013)</w:t>
      </w:r>
      <w:r w:rsidR="00951E9B">
        <w:rPr>
          <w:rFonts w:asciiTheme="minorHAnsi" w:hAnsiTheme="minorHAnsi" w:cstheme="minorHAnsi"/>
          <w:color w:val="1F497D"/>
          <w:sz w:val="22"/>
          <w:szCs w:val="22"/>
          <w:lang w:eastAsia="en-US"/>
        </w:rPr>
        <w:t>,</w:t>
      </w:r>
      <w:r>
        <w:rPr>
          <w:rFonts w:asciiTheme="minorHAnsi" w:hAnsiTheme="minorHAnsi" w:cstheme="minorHAnsi"/>
          <w:color w:val="1F497D"/>
          <w:sz w:val="22"/>
          <w:szCs w:val="22"/>
          <w:lang w:eastAsia="en-US"/>
        </w:rPr>
        <w:t xml:space="preserve"> </w:t>
      </w:r>
      <w:r w:rsidR="00E46998">
        <w:rPr>
          <w:rFonts w:asciiTheme="minorHAnsi" w:hAnsiTheme="minorHAnsi" w:cstheme="minorHAnsi"/>
          <w:color w:val="1F497D"/>
          <w:sz w:val="22"/>
          <w:szCs w:val="22"/>
          <w:lang w:eastAsia="en-US"/>
        </w:rPr>
        <w:t xml:space="preserve">fait de la relation avec des individus, une des caractéristiques majeures des situations de travail. Dans ce sens, l’autre est alors un « objet » de son activité de travail, </w:t>
      </w:r>
      <w:r w:rsidR="00D5421A">
        <w:rPr>
          <w:rFonts w:asciiTheme="minorHAnsi" w:hAnsiTheme="minorHAnsi" w:cstheme="minorHAnsi"/>
          <w:color w:val="1F497D"/>
          <w:sz w:val="22"/>
          <w:szCs w:val="22"/>
          <w:lang w:eastAsia="en-US"/>
        </w:rPr>
        <w:t>dans la mesure</w:t>
      </w:r>
      <w:r w:rsidR="00E46998">
        <w:rPr>
          <w:rFonts w:asciiTheme="minorHAnsi" w:hAnsiTheme="minorHAnsi" w:cstheme="minorHAnsi"/>
          <w:color w:val="1F497D"/>
          <w:sz w:val="22"/>
          <w:szCs w:val="22"/>
          <w:lang w:eastAsia="en-US"/>
        </w:rPr>
        <w:t xml:space="preserve"> où le professionnel de santé agit sur lui, sa santé, son corps… mais il est aussi un « moyen » d’agir car, c’est en partie par lui que s’explique la réussite ou l’échec de l’action conduite dans la situation.</w:t>
      </w:r>
      <w:r w:rsidR="000172C3">
        <w:rPr>
          <w:rFonts w:asciiTheme="minorHAnsi" w:hAnsiTheme="minorHAnsi" w:cstheme="minorHAnsi"/>
          <w:color w:val="1F497D"/>
          <w:sz w:val="22"/>
          <w:szCs w:val="22"/>
          <w:lang w:eastAsia="en-US"/>
        </w:rPr>
        <w:t xml:space="preserve"> De même, c’est avec les autres soignants, de son propre métier ou d’un autre, participant au même acte de soin, que se construisent les réponses efficiences face aux obstacles du réel.</w:t>
      </w:r>
    </w:p>
    <w:p w14:paraId="0264672C" w14:textId="77777777" w:rsidR="00E46998" w:rsidRDefault="00E46998" w:rsidP="00D5421A">
      <w:pPr>
        <w:spacing w:after="120" w:line="276" w:lineRule="auto"/>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 xml:space="preserve">Clot (2016), dans un chapitre rédigé en dialogue avec des collègues sociologues du travail, cherche à montrer que sa psychologie du travail est aussi celle des rapports sociaux. Il indique d’ailleurs que « le professionnalisme a besoin de dialogue pour se survivre, de discordances et d’arbitrage » (p. 68). Ainsi, le rapport social, l’activité relationnelle ne sont pas vus comme une homogénéisation qui conduit à la « bonne pratique » si fréquente dans le secteur de la santé, et dont la pandémie actuelle a montré les limites, mais bien comme le développement </w:t>
      </w:r>
      <w:r w:rsidR="00D5421A">
        <w:rPr>
          <w:rFonts w:asciiTheme="minorHAnsi" w:hAnsiTheme="minorHAnsi" w:cstheme="minorHAnsi"/>
          <w:color w:val="1F497D"/>
          <w:sz w:val="22"/>
          <w:szCs w:val="22"/>
          <w:lang w:eastAsia="en-US"/>
        </w:rPr>
        <w:t>des désaccords et des solutions alternatives multiples</w:t>
      </w:r>
      <w:r w:rsidR="000172C3">
        <w:rPr>
          <w:rFonts w:asciiTheme="minorHAnsi" w:hAnsiTheme="minorHAnsi" w:cstheme="minorHAnsi"/>
          <w:color w:val="1F497D"/>
          <w:sz w:val="22"/>
          <w:szCs w:val="22"/>
          <w:lang w:eastAsia="en-US"/>
        </w:rPr>
        <w:t xml:space="preserve"> (Balas, 2014)</w:t>
      </w:r>
      <w:r w:rsidR="00D5421A">
        <w:rPr>
          <w:rFonts w:asciiTheme="minorHAnsi" w:hAnsiTheme="minorHAnsi" w:cstheme="minorHAnsi"/>
          <w:color w:val="1F497D"/>
          <w:sz w:val="22"/>
          <w:szCs w:val="22"/>
          <w:lang w:eastAsia="en-US"/>
        </w:rPr>
        <w:t>.</w:t>
      </w:r>
    </w:p>
    <w:p w14:paraId="60D6C42C" w14:textId="77777777" w:rsidR="00D5421A" w:rsidRDefault="00D5421A" w:rsidP="00D5421A">
      <w:pPr>
        <w:spacing w:after="120" w:line="276" w:lineRule="auto"/>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 xml:space="preserve">Je proposerai, dans cette communication, de montrer comment, dans une démarche de « didactique </w:t>
      </w:r>
      <w:proofErr w:type="gramStart"/>
      <w:r>
        <w:rPr>
          <w:rFonts w:asciiTheme="minorHAnsi" w:hAnsiTheme="minorHAnsi" w:cstheme="minorHAnsi"/>
          <w:color w:val="1F497D"/>
          <w:sz w:val="22"/>
          <w:szCs w:val="22"/>
          <w:lang w:eastAsia="en-US"/>
        </w:rPr>
        <w:t>clinique</w:t>
      </w:r>
      <w:proofErr w:type="gramEnd"/>
      <w:r>
        <w:rPr>
          <w:rFonts w:asciiTheme="minorHAnsi" w:hAnsiTheme="minorHAnsi" w:cstheme="minorHAnsi"/>
          <w:color w:val="1F497D"/>
          <w:sz w:val="22"/>
          <w:szCs w:val="22"/>
          <w:lang w:eastAsia="en-US"/>
        </w:rPr>
        <w:t xml:space="preserve"> de l’activité », je pense la conception d’un dispositif de formation et de certification des </w:t>
      </w:r>
      <w:r>
        <w:rPr>
          <w:rFonts w:asciiTheme="minorHAnsi" w:hAnsiTheme="minorHAnsi" w:cstheme="minorHAnsi"/>
          <w:color w:val="1F497D"/>
          <w:sz w:val="22"/>
          <w:szCs w:val="22"/>
          <w:lang w:eastAsia="en-US"/>
        </w:rPr>
        <w:lastRenderedPageBreak/>
        <w:t>masseurs-kinésithérapeute, en m’appuyant sur une double intervention conduite dans le cadre d’un travail doctoral (Balas, 2011).</w:t>
      </w:r>
    </w:p>
    <w:p w14:paraId="2A30A6E0" w14:textId="77777777" w:rsidR="00D5421A" w:rsidRDefault="00D5421A" w:rsidP="00D5421A">
      <w:pPr>
        <w:spacing w:after="120" w:line="276" w:lineRule="auto"/>
        <w:jc w:val="both"/>
        <w:rPr>
          <w:rFonts w:asciiTheme="minorHAnsi" w:hAnsiTheme="minorHAnsi" w:cstheme="minorHAnsi"/>
          <w:color w:val="1F497D"/>
          <w:sz w:val="22"/>
          <w:szCs w:val="22"/>
          <w:lang w:eastAsia="en-US"/>
        </w:rPr>
      </w:pPr>
      <w:r>
        <w:rPr>
          <w:rFonts w:asciiTheme="minorHAnsi" w:hAnsiTheme="minorHAnsi" w:cstheme="minorHAnsi"/>
          <w:color w:val="1F497D"/>
          <w:sz w:val="22"/>
          <w:szCs w:val="22"/>
          <w:lang w:eastAsia="en-US"/>
        </w:rPr>
        <w:t xml:space="preserve">Il s’agira ici de montrer comme les « autres », compris comme l’ensemble des acteurs dont l’objet de l’activité porte sur le même objet que l’activité du professionnel (Clot, 2008, </w:t>
      </w:r>
      <w:r w:rsidRPr="00D5421A">
        <w:rPr>
          <w:rFonts w:asciiTheme="minorHAnsi" w:hAnsiTheme="minorHAnsi" w:cstheme="minorHAnsi"/>
          <w:i/>
          <w:color w:val="1F497D"/>
          <w:sz w:val="22"/>
          <w:szCs w:val="22"/>
          <w:lang w:eastAsia="en-US"/>
        </w:rPr>
        <w:t xml:space="preserve">op. </w:t>
      </w:r>
      <w:proofErr w:type="spellStart"/>
      <w:proofErr w:type="gramStart"/>
      <w:r w:rsidRPr="00D5421A">
        <w:rPr>
          <w:rFonts w:asciiTheme="minorHAnsi" w:hAnsiTheme="minorHAnsi" w:cstheme="minorHAnsi"/>
          <w:i/>
          <w:color w:val="1F497D"/>
          <w:sz w:val="22"/>
          <w:szCs w:val="22"/>
          <w:lang w:eastAsia="en-US"/>
        </w:rPr>
        <w:t>cit</w:t>
      </w:r>
      <w:proofErr w:type="spellEnd"/>
      <w:proofErr w:type="gramEnd"/>
      <w:r w:rsidRPr="00D5421A">
        <w:rPr>
          <w:rFonts w:asciiTheme="minorHAnsi" w:hAnsiTheme="minorHAnsi" w:cstheme="minorHAnsi"/>
          <w:i/>
          <w:color w:val="1F497D"/>
          <w:sz w:val="22"/>
          <w:szCs w:val="22"/>
          <w:lang w:eastAsia="en-US"/>
        </w:rPr>
        <w:t>.</w:t>
      </w:r>
      <w:r>
        <w:rPr>
          <w:rFonts w:asciiTheme="minorHAnsi" w:hAnsiTheme="minorHAnsi" w:cstheme="minorHAnsi"/>
          <w:color w:val="1F497D"/>
          <w:sz w:val="22"/>
          <w:szCs w:val="22"/>
          <w:lang w:eastAsia="en-US"/>
        </w:rPr>
        <w:t>), c’est-à-dire les collègues, les professionnels des métiers proches, les patients… participent du « réel de l’activité » de travail de ces masseurs-kinésithérapeutes</w:t>
      </w:r>
      <w:r w:rsidR="000172C3">
        <w:rPr>
          <w:rFonts w:asciiTheme="minorHAnsi" w:hAnsiTheme="minorHAnsi" w:cstheme="minorHAnsi"/>
          <w:color w:val="1F497D"/>
          <w:sz w:val="22"/>
          <w:szCs w:val="22"/>
          <w:lang w:eastAsia="en-US"/>
        </w:rPr>
        <w:t>. Je tenterai alors de montrer comme ce réel est pris en compte puis transposé dans des situations de formation et d’évaluation certificative pour permettre de concevoir des dispositifs authentiquement marqués par les dimensions humaines et sociales du travail de soignant.</w:t>
      </w:r>
    </w:p>
    <w:p w14:paraId="277EB685" w14:textId="77777777" w:rsidR="00290F67" w:rsidRPr="00D5421A" w:rsidRDefault="00290F67" w:rsidP="00DC7AF6">
      <w:pPr>
        <w:spacing w:after="120" w:line="276" w:lineRule="auto"/>
        <w:rPr>
          <w:rFonts w:asciiTheme="minorHAnsi" w:hAnsiTheme="minorHAnsi" w:cstheme="minorHAnsi"/>
          <w:sz w:val="22"/>
          <w:szCs w:val="22"/>
        </w:rPr>
      </w:pPr>
    </w:p>
    <w:p w14:paraId="432CC94F" w14:textId="77777777" w:rsidR="006A3083" w:rsidRPr="00D5421A" w:rsidRDefault="00DC7AF6" w:rsidP="00372177">
      <w:pPr>
        <w:spacing w:after="120" w:line="276" w:lineRule="auto"/>
        <w:jc w:val="both"/>
        <w:rPr>
          <w:rFonts w:asciiTheme="minorHAnsi" w:hAnsiTheme="minorHAnsi" w:cstheme="minorHAnsi"/>
          <w:sz w:val="22"/>
          <w:szCs w:val="22"/>
        </w:rPr>
      </w:pPr>
      <w:r w:rsidRPr="00D5421A">
        <w:rPr>
          <w:rFonts w:asciiTheme="minorHAnsi" w:hAnsiTheme="minorHAnsi" w:cstheme="minorHAnsi"/>
          <w:sz w:val="22"/>
          <w:szCs w:val="22"/>
        </w:rPr>
        <w:t>Pistes bibliographiques</w:t>
      </w:r>
    </w:p>
    <w:p w14:paraId="2833AFFF" w14:textId="77777777" w:rsidR="00DC7AF6" w:rsidRPr="00D5421A" w:rsidRDefault="00DC7AF6" w:rsidP="00372177">
      <w:pPr>
        <w:spacing w:after="120" w:line="276" w:lineRule="auto"/>
        <w:jc w:val="both"/>
        <w:rPr>
          <w:rFonts w:asciiTheme="minorHAnsi" w:hAnsiTheme="minorHAnsi" w:cstheme="minorHAnsi"/>
          <w:color w:val="111133"/>
          <w:sz w:val="22"/>
          <w:szCs w:val="22"/>
          <w:u w:val="single"/>
        </w:rPr>
      </w:pPr>
      <w:r w:rsidRPr="00D5421A">
        <w:rPr>
          <w:rFonts w:asciiTheme="minorHAnsi" w:hAnsiTheme="minorHAnsi" w:cstheme="minorHAnsi"/>
          <w:bCs/>
          <w:smallCaps/>
          <w:sz w:val="22"/>
          <w:szCs w:val="22"/>
        </w:rPr>
        <w:t>Balas, S. (2011).</w:t>
      </w:r>
      <w:r w:rsidRPr="00D5421A">
        <w:rPr>
          <w:rFonts w:asciiTheme="minorHAnsi" w:hAnsiTheme="minorHAnsi" w:cstheme="minorHAnsi"/>
          <w:bCs/>
          <w:sz w:val="22"/>
          <w:szCs w:val="22"/>
        </w:rPr>
        <w:t xml:space="preserve"> Le référentiel, un outil de formation, un instrument de développement du métier. Le métier de masseur-kinésithérapeute en référence. </w:t>
      </w:r>
      <w:r w:rsidRPr="00D5421A">
        <w:rPr>
          <w:rFonts w:asciiTheme="minorHAnsi" w:hAnsiTheme="minorHAnsi" w:cstheme="minorHAnsi"/>
          <w:bCs/>
          <w:i/>
          <w:sz w:val="22"/>
          <w:szCs w:val="22"/>
        </w:rPr>
        <w:t>Thèse pour le doctorat de sciences de l’éducation.</w:t>
      </w:r>
      <w:r w:rsidRPr="00D5421A">
        <w:rPr>
          <w:rFonts w:asciiTheme="minorHAnsi" w:hAnsiTheme="minorHAnsi" w:cstheme="minorHAnsi"/>
          <w:bCs/>
          <w:sz w:val="22"/>
          <w:szCs w:val="22"/>
        </w:rPr>
        <w:t xml:space="preserve"> Paris : CNAM, </w:t>
      </w:r>
      <w:hyperlink r:id="rId7" w:history="1">
        <w:r w:rsidRPr="00D5421A">
          <w:rPr>
            <w:rStyle w:val="Lienhypertexte"/>
            <w:rFonts w:asciiTheme="minorHAnsi" w:hAnsiTheme="minorHAnsi" w:cstheme="minorHAnsi"/>
            <w:sz w:val="22"/>
            <w:szCs w:val="22"/>
          </w:rPr>
          <w:t>http://tel.archives-ouvertes.fr/tel-00669690</w:t>
        </w:r>
      </w:hyperlink>
    </w:p>
    <w:p w14:paraId="61F38A5F" w14:textId="77777777" w:rsidR="00372177" w:rsidRPr="00D5421A" w:rsidRDefault="00372177" w:rsidP="00372177">
      <w:pPr>
        <w:spacing w:after="120" w:line="276" w:lineRule="auto"/>
        <w:jc w:val="both"/>
        <w:rPr>
          <w:rFonts w:asciiTheme="minorHAnsi" w:hAnsiTheme="minorHAnsi" w:cstheme="minorHAnsi"/>
          <w:color w:val="111133"/>
          <w:sz w:val="22"/>
          <w:szCs w:val="22"/>
          <w:u w:val="single"/>
        </w:rPr>
      </w:pPr>
      <w:r w:rsidRPr="00D5421A">
        <w:rPr>
          <w:rFonts w:asciiTheme="minorHAnsi" w:hAnsiTheme="minorHAnsi" w:cstheme="minorHAnsi"/>
          <w:smallCaps/>
          <w:sz w:val="22"/>
          <w:szCs w:val="22"/>
        </w:rPr>
        <w:t>Balas</w:t>
      </w:r>
      <w:r w:rsidRPr="00D5421A">
        <w:rPr>
          <w:rFonts w:asciiTheme="minorHAnsi" w:hAnsiTheme="minorHAnsi" w:cstheme="minorHAnsi"/>
          <w:sz w:val="22"/>
          <w:szCs w:val="22"/>
        </w:rPr>
        <w:t xml:space="preserve">, S. (2014). Un référentiel pour développer les différences. Le cas d’une intervention avec des masseurs-kinésithérapeutes, in B. </w:t>
      </w:r>
      <w:proofErr w:type="spellStart"/>
      <w:r w:rsidRPr="00D5421A">
        <w:rPr>
          <w:rFonts w:asciiTheme="minorHAnsi" w:hAnsiTheme="minorHAnsi" w:cstheme="minorHAnsi"/>
          <w:sz w:val="22"/>
          <w:szCs w:val="22"/>
        </w:rPr>
        <w:t>Prot</w:t>
      </w:r>
      <w:proofErr w:type="spellEnd"/>
      <w:r w:rsidRPr="00D5421A">
        <w:rPr>
          <w:rFonts w:asciiTheme="minorHAnsi" w:hAnsiTheme="minorHAnsi" w:cstheme="minorHAnsi"/>
          <w:sz w:val="22"/>
          <w:szCs w:val="22"/>
        </w:rPr>
        <w:t xml:space="preserve"> (</w:t>
      </w:r>
      <w:proofErr w:type="spellStart"/>
      <w:r w:rsidRPr="00D5421A">
        <w:rPr>
          <w:rFonts w:asciiTheme="minorHAnsi" w:hAnsiTheme="minorHAnsi" w:cstheme="minorHAnsi"/>
          <w:sz w:val="22"/>
          <w:szCs w:val="22"/>
        </w:rPr>
        <w:t>coord</w:t>
      </w:r>
      <w:proofErr w:type="spellEnd"/>
      <w:r w:rsidRPr="00D5421A">
        <w:rPr>
          <w:rFonts w:asciiTheme="minorHAnsi" w:hAnsiTheme="minorHAnsi" w:cstheme="minorHAnsi"/>
          <w:sz w:val="22"/>
          <w:szCs w:val="22"/>
        </w:rPr>
        <w:t xml:space="preserve">.) </w:t>
      </w:r>
      <w:r w:rsidRPr="00D5421A">
        <w:rPr>
          <w:rFonts w:asciiTheme="minorHAnsi" w:hAnsiTheme="minorHAnsi" w:cstheme="minorHAnsi"/>
          <w:i/>
          <w:sz w:val="22"/>
          <w:szCs w:val="22"/>
        </w:rPr>
        <w:t>Les référentiels contre l’activité</w:t>
      </w:r>
      <w:r w:rsidRPr="00D5421A">
        <w:rPr>
          <w:rFonts w:asciiTheme="minorHAnsi" w:hAnsiTheme="minorHAnsi" w:cstheme="minorHAnsi"/>
          <w:sz w:val="22"/>
          <w:szCs w:val="22"/>
        </w:rPr>
        <w:t>.</w:t>
      </w:r>
      <w:r w:rsidRPr="00D5421A">
        <w:rPr>
          <w:rFonts w:asciiTheme="minorHAnsi" w:hAnsiTheme="minorHAnsi" w:cstheme="minorHAnsi"/>
          <w:i/>
          <w:iCs/>
          <w:sz w:val="22"/>
          <w:szCs w:val="22"/>
        </w:rPr>
        <w:t xml:space="preserve"> En formation, gestion, certification.</w:t>
      </w:r>
      <w:r w:rsidRPr="00D5421A">
        <w:rPr>
          <w:rFonts w:asciiTheme="minorHAnsi" w:hAnsiTheme="minorHAnsi" w:cstheme="minorHAnsi"/>
          <w:sz w:val="22"/>
          <w:szCs w:val="22"/>
        </w:rPr>
        <w:t xml:space="preserve"> Toulouse : </w:t>
      </w:r>
      <w:proofErr w:type="spellStart"/>
      <w:r w:rsidRPr="00D5421A">
        <w:rPr>
          <w:rFonts w:asciiTheme="minorHAnsi" w:hAnsiTheme="minorHAnsi" w:cstheme="minorHAnsi"/>
          <w:sz w:val="22"/>
          <w:szCs w:val="22"/>
        </w:rPr>
        <w:t>Octares</w:t>
      </w:r>
      <w:proofErr w:type="spellEnd"/>
      <w:r w:rsidRPr="00D5421A">
        <w:rPr>
          <w:rFonts w:asciiTheme="minorHAnsi" w:hAnsiTheme="minorHAnsi" w:cstheme="minorHAnsi"/>
          <w:sz w:val="22"/>
          <w:szCs w:val="22"/>
        </w:rPr>
        <w:t>, pp. 151-165.</w:t>
      </w:r>
    </w:p>
    <w:p w14:paraId="57105C51" w14:textId="77777777" w:rsidR="00D5421A" w:rsidRPr="00D5421A" w:rsidRDefault="00D5421A" w:rsidP="00D5421A">
      <w:pPr>
        <w:overflowPunct w:val="0"/>
        <w:autoSpaceDE w:val="0"/>
        <w:autoSpaceDN w:val="0"/>
        <w:adjustRightInd w:val="0"/>
        <w:spacing w:after="60"/>
        <w:jc w:val="both"/>
        <w:rPr>
          <w:rFonts w:asciiTheme="minorHAnsi" w:hAnsiTheme="minorHAnsi" w:cstheme="minorHAnsi"/>
          <w:smallCaps/>
          <w:sz w:val="22"/>
          <w:szCs w:val="22"/>
        </w:rPr>
      </w:pPr>
      <w:r w:rsidRPr="00D5421A">
        <w:rPr>
          <w:rFonts w:asciiTheme="minorHAnsi" w:hAnsiTheme="minorHAnsi" w:cstheme="minorHAnsi"/>
          <w:smallCaps/>
          <w:sz w:val="22"/>
          <w:szCs w:val="22"/>
        </w:rPr>
        <w:t xml:space="preserve">Clot, Y. (2008). </w:t>
      </w:r>
      <w:r w:rsidRPr="00D5421A">
        <w:rPr>
          <w:rFonts w:asciiTheme="minorHAnsi" w:hAnsiTheme="minorHAnsi" w:cstheme="minorHAnsi"/>
          <w:i/>
          <w:color w:val="000000"/>
          <w:sz w:val="22"/>
          <w:szCs w:val="22"/>
        </w:rPr>
        <w:t>Travail et pouvoir d’agir</w:t>
      </w:r>
      <w:r w:rsidRPr="00D5421A">
        <w:rPr>
          <w:rFonts w:asciiTheme="minorHAnsi" w:hAnsiTheme="minorHAnsi" w:cstheme="minorHAnsi"/>
          <w:color w:val="000000"/>
          <w:sz w:val="22"/>
          <w:szCs w:val="22"/>
        </w:rPr>
        <w:t>. Paris : PUF</w:t>
      </w:r>
    </w:p>
    <w:p w14:paraId="29B2684B" w14:textId="77777777" w:rsidR="00DC7AF6" w:rsidRPr="00D5421A" w:rsidRDefault="00372177" w:rsidP="00372177">
      <w:pPr>
        <w:spacing w:after="120" w:line="276" w:lineRule="auto"/>
        <w:jc w:val="both"/>
        <w:rPr>
          <w:rFonts w:asciiTheme="minorHAnsi" w:hAnsiTheme="minorHAnsi" w:cstheme="minorHAnsi"/>
          <w:sz w:val="22"/>
          <w:szCs w:val="22"/>
        </w:rPr>
      </w:pPr>
      <w:r w:rsidRPr="00D5421A">
        <w:rPr>
          <w:rFonts w:asciiTheme="minorHAnsi" w:hAnsiTheme="minorHAnsi" w:cstheme="minorHAnsi"/>
          <w:smallCaps/>
          <w:sz w:val="22"/>
          <w:szCs w:val="22"/>
        </w:rPr>
        <w:t>Clot, Y. (2016</w:t>
      </w:r>
      <w:r w:rsidRPr="00D5421A">
        <w:rPr>
          <w:rFonts w:asciiTheme="minorHAnsi" w:hAnsiTheme="minorHAnsi" w:cstheme="minorHAnsi"/>
          <w:sz w:val="22"/>
          <w:szCs w:val="22"/>
        </w:rPr>
        <w:t xml:space="preserve">). Activité, affect : sources et ressources du rapport social, in </w:t>
      </w:r>
      <w:proofErr w:type="spellStart"/>
      <w:r w:rsidRPr="00D5421A">
        <w:rPr>
          <w:rFonts w:asciiTheme="minorHAnsi" w:hAnsiTheme="minorHAnsi" w:cstheme="minorHAnsi"/>
          <w:sz w:val="22"/>
          <w:szCs w:val="22"/>
        </w:rPr>
        <w:t>Dujarier</w:t>
      </w:r>
      <w:proofErr w:type="spellEnd"/>
      <w:r w:rsidRPr="00D5421A">
        <w:rPr>
          <w:rFonts w:asciiTheme="minorHAnsi" w:hAnsiTheme="minorHAnsi" w:cstheme="minorHAnsi"/>
          <w:sz w:val="22"/>
          <w:szCs w:val="22"/>
        </w:rPr>
        <w:t xml:space="preserve">, M.-A., </w:t>
      </w:r>
      <w:proofErr w:type="spellStart"/>
      <w:r w:rsidRPr="00D5421A">
        <w:rPr>
          <w:rFonts w:asciiTheme="minorHAnsi" w:hAnsiTheme="minorHAnsi" w:cstheme="minorHAnsi"/>
          <w:sz w:val="22"/>
          <w:szCs w:val="22"/>
        </w:rPr>
        <w:t>Gaudart</w:t>
      </w:r>
      <w:proofErr w:type="spellEnd"/>
      <w:r w:rsidRPr="00D5421A">
        <w:rPr>
          <w:rFonts w:asciiTheme="minorHAnsi" w:hAnsiTheme="minorHAnsi" w:cstheme="minorHAnsi"/>
          <w:sz w:val="22"/>
          <w:szCs w:val="22"/>
        </w:rPr>
        <w:t xml:space="preserve">, C., Gillet, A. et </w:t>
      </w:r>
      <w:proofErr w:type="spellStart"/>
      <w:r w:rsidRPr="00D5421A">
        <w:rPr>
          <w:rFonts w:asciiTheme="minorHAnsi" w:hAnsiTheme="minorHAnsi" w:cstheme="minorHAnsi"/>
          <w:sz w:val="22"/>
          <w:szCs w:val="22"/>
        </w:rPr>
        <w:t>Lénel</w:t>
      </w:r>
      <w:proofErr w:type="spellEnd"/>
      <w:r w:rsidRPr="00D5421A">
        <w:rPr>
          <w:rFonts w:asciiTheme="minorHAnsi" w:hAnsiTheme="minorHAnsi" w:cstheme="minorHAnsi"/>
          <w:sz w:val="22"/>
          <w:szCs w:val="22"/>
        </w:rPr>
        <w:t xml:space="preserve">, P., </w:t>
      </w:r>
      <w:r w:rsidRPr="00D5421A">
        <w:rPr>
          <w:rFonts w:asciiTheme="minorHAnsi" w:hAnsiTheme="minorHAnsi" w:cstheme="minorHAnsi"/>
          <w:i/>
          <w:sz w:val="22"/>
          <w:szCs w:val="22"/>
        </w:rPr>
        <w:t>L’activité en théories. Regards croisés sur le travail</w:t>
      </w:r>
      <w:r w:rsidRPr="00D5421A">
        <w:rPr>
          <w:rFonts w:asciiTheme="minorHAnsi" w:hAnsiTheme="minorHAnsi" w:cstheme="minorHAnsi"/>
          <w:sz w:val="22"/>
          <w:szCs w:val="22"/>
        </w:rPr>
        <w:t xml:space="preserve">, Toulouse : </w:t>
      </w:r>
      <w:proofErr w:type="spellStart"/>
      <w:r w:rsidRPr="00D5421A">
        <w:rPr>
          <w:rFonts w:asciiTheme="minorHAnsi" w:hAnsiTheme="minorHAnsi" w:cstheme="minorHAnsi"/>
          <w:sz w:val="22"/>
          <w:szCs w:val="22"/>
        </w:rPr>
        <w:t>Octarès</w:t>
      </w:r>
      <w:proofErr w:type="spellEnd"/>
      <w:r w:rsidRPr="00D5421A">
        <w:rPr>
          <w:rFonts w:asciiTheme="minorHAnsi" w:hAnsiTheme="minorHAnsi" w:cstheme="minorHAnsi"/>
          <w:sz w:val="22"/>
          <w:szCs w:val="22"/>
        </w:rPr>
        <w:t>, pp. 51-80.</w:t>
      </w:r>
    </w:p>
    <w:p w14:paraId="3C57C90F" w14:textId="77777777" w:rsidR="00D5421A" w:rsidRPr="00D5421A" w:rsidRDefault="00D5421A" w:rsidP="00372177">
      <w:pPr>
        <w:spacing w:after="120" w:line="276" w:lineRule="auto"/>
        <w:jc w:val="both"/>
        <w:rPr>
          <w:rFonts w:asciiTheme="minorHAnsi" w:hAnsiTheme="minorHAnsi" w:cstheme="minorHAnsi"/>
          <w:sz w:val="22"/>
          <w:szCs w:val="22"/>
        </w:rPr>
      </w:pPr>
      <w:r w:rsidRPr="00D5421A">
        <w:rPr>
          <w:rFonts w:asciiTheme="minorHAnsi" w:hAnsiTheme="minorHAnsi" w:cstheme="minorHAnsi"/>
          <w:smallCaps/>
          <w:color w:val="000000"/>
          <w:sz w:val="22"/>
          <w:szCs w:val="22"/>
        </w:rPr>
        <w:t>Jobert</w:t>
      </w:r>
      <w:r w:rsidRPr="00D5421A">
        <w:rPr>
          <w:rFonts w:asciiTheme="minorHAnsi" w:hAnsiTheme="minorHAnsi" w:cstheme="minorHAnsi"/>
          <w:color w:val="000000"/>
          <w:sz w:val="22"/>
          <w:szCs w:val="22"/>
        </w:rPr>
        <w:t xml:space="preserve">, G. (2013). Le formateur d'adultes : un agent de développement, </w:t>
      </w:r>
      <w:r w:rsidRPr="00D5421A">
        <w:rPr>
          <w:rFonts w:asciiTheme="minorHAnsi" w:hAnsiTheme="minorHAnsi" w:cstheme="minorHAnsi"/>
          <w:i/>
          <w:iCs/>
          <w:color w:val="000000"/>
          <w:sz w:val="22"/>
          <w:szCs w:val="22"/>
        </w:rPr>
        <w:t>Nouvelle revue de psychosociologie</w:t>
      </w:r>
      <w:r w:rsidRPr="00D5421A">
        <w:rPr>
          <w:rFonts w:asciiTheme="minorHAnsi" w:hAnsiTheme="minorHAnsi" w:cstheme="minorHAnsi"/>
          <w:color w:val="000000"/>
          <w:sz w:val="22"/>
          <w:szCs w:val="22"/>
        </w:rPr>
        <w:t>, 2013/1 n°15, pp. 31-44.</w:t>
      </w:r>
    </w:p>
    <w:sectPr w:rsidR="00D5421A" w:rsidRPr="00D542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873D" w14:textId="77777777" w:rsidR="006B7F6F" w:rsidRDefault="006B7F6F" w:rsidP="000172C3">
      <w:r>
        <w:separator/>
      </w:r>
    </w:p>
  </w:endnote>
  <w:endnote w:type="continuationSeparator" w:id="0">
    <w:p w14:paraId="50D58FF2" w14:textId="77777777" w:rsidR="006B7F6F" w:rsidRDefault="006B7F6F" w:rsidP="0001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56323970"/>
      <w:docPartObj>
        <w:docPartGallery w:val="Page Numbers (Bottom of Page)"/>
        <w:docPartUnique/>
      </w:docPartObj>
    </w:sdtPr>
    <w:sdtEndPr/>
    <w:sdtContent>
      <w:p w14:paraId="6F807EA5" w14:textId="77777777" w:rsidR="000172C3" w:rsidRDefault="000172C3">
        <w:pPr>
          <w:pStyle w:val="Pieddepag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F288D" w:rsidRPr="004F288D">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F87750E" w14:textId="77777777" w:rsidR="000172C3" w:rsidRDefault="000172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5857F" w14:textId="77777777" w:rsidR="006B7F6F" w:rsidRDefault="006B7F6F" w:rsidP="000172C3">
      <w:r>
        <w:separator/>
      </w:r>
    </w:p>
  </w:footnote>
  <w:footnote w:type="continuationSeparator" w:id="0">
    <w:p w14:paraId="6965748F" w14:textId="77777777" w:rsidR="006B7F6F" w:rsidRDefault="006B7F6F" w:rsidP="00017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83"/>
    <w:rsid w:val="000172C3"/>
    <w:rsid w:val="00290F67"/>
    <w:rsid w:val="00372177"/>
    <w:rsid w:val="00494B06"/>
    <w:rsid w:val="004F288D"/>
    <w:rsid w:val="005E3765"/>
    <w:rsid w:val="006A3083"/>
    <w:rsid w:val="006B7F6F"/>
    <w:rsid w:val="00951E9B"/>
    <w:rsid w:val="00AB08A7"/>
    <w:rsid w:val="00BE5073"/>
    <w:rsid w:val="00D5421A"/>
    <w:rsid w:val="00DC7AF6"/>
    <w:rsid w:val="00E46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5D3D"/>
  <w15:chartTrackingRefBased/>
  <w15:docId w15:val="{6CB0E516-F27C-4F28-8FC0-845854AB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08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C7AF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DC7AF6"/>
    <w:rPr>
      <w:color w:val="0000FF"/>
      <w:u w:val="single"/>
    </w:rPr>
  </w:style>
  <w:style w:type="paragraph" w:styleId="En-tte">
    <w:name w:val="header"/>
    <w:basedOn w:val="Normal"/>
    <w:link w:val="En-tteCar"/>
    <w:uiPriority w:val="99"/>
    <w:unhideWhenUsed/>
    <w:rsid w:val="000172C3"/>
    <w:pPr>
      <w:tabs>
        <w:tab w:val="center" w:pos="4536"/>
        <w:tab w:val="right" w:pos="9072"/>
      </w:tabs>
    </w:pPr>
  </w:style>
  <w:style w:type="character" w:customStyle="1" w:styleId="En-tteCar">
    <w:name w:val="En-tête Car"/>
    <w:basedOn w:val="Policepardfaut"/>
    <w:link w:val="En-tte"/>
    <w:uiPriority w:val="99"/>
    <w:rsid w:val="000172C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0172C3"/>
    <w:pPr>
      <w:tabs>
        <w:tab w:val="center" w:pos="4536"/>
        <w:tab w:val="right" w:pos="9072"/>
      </w:tabs>
    </w:pPr>
  </w:style>
  <w:style w:type="character" w:customStyle="1" w:styleId="PieddepageCar">
    <w:name w:val="Pied de page Car"/>
    <w:basedOn w:val="Policepardfaut"/>
    <w:link w:val="Pieddepage"/>
    <w:uiPriority w:val="99"/>
    <w:rsid w:val="000172C3"/>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020784">
      <w:bodyDiv w:val="1"/>
      <w:marLeft w:val="0"/>
      <w:marRight w:val="0"/>
      <w:marTop w:val="0"/>
      <w:marBottom w:val="0"/>
      <w:divBdr>
        <w:top w:val="none" w:sz="0" w:space="0" w:color="auto"/>
        <w:left w:val="none" w:sz="0" w:space="0" w:color="auto"/>
        <w:bottom w:val="none" w:sz="0" w:space="0" w:color="auto"/>
        <w:right w:val="none" w:sz="0" w:space="0" w:color="auto"/>
      </w:divBdr>
    </w:div>
    <w:div w:id="19726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el.archives-ouvertes.fr/tel-00669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e.balas@lecnam.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Balas</dc:creator>
  <cp:keywords/>
  <dc:description/>
  <cp:lastModifiedBy>BALAS Stéphane</cp:lastModifiedBy>
  <cp:revision>6</cp:revision>
  <dcterms:created xsi:type="dcterms:W3CDTF">2020-05-04T05:57:00Z</dcterms:created>
  <dcterms:modified xsi:type="dcterms:W3CDTF">2021-06-28T08:11:00Z</dcterms:modified>
</cp:coreProperties>
</file>